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1D" w:rsidRPr="0078141D" w:rsidRDefault="0078141D" w:rsidP="0078141D">
      <w:pPr>
        <w:spacing w:after="0" w:line="480" w:lineRule="auto"/>
        <w:contextualSpacing/>
        <w:rPr>
          <w:rFonts w:ascii="Times New Roman" w:hAnsi="Times New Roman" w:cs="Times New Roman"/>
          <w:b/>
          <w:iCs/>
          <w:sz w:val="24"/>
          <w:szCs w:val="24"/>
          <w:lang w:val="en-GB"/>
        </w:rPr>
      </w:pPr>
      <w:r w:rsidRPr="0078141D">
        <w:rPr>
          <w:rFonts w:ascii="Times New Roman" w:hAnsi="Times New Roman" w:cs="Times New Roman"/>
          <w:b/>
          <w:iCs/>
          <w:sz w:val="24"/>
          <w:szCs w:val="24"/>
          <w:lang w:val="en-GB"/>
        </w:rPr>
        <w:t>Supplementary Text</w:t>
      </w:r>
    </w:p>
    <w:p w:rsidR="00C35C1A" w:rsidRPr="00B26D44" w:rsidRDefault="00C35C1A" w:rsidP="00C35C1A">
      <w:pPr>
        <w:spacing w:after="0" w:line="480" w:lineRule="auto"/>
        <w:contextualSpacing/>
        <w:rPr>
          <w:rFonts w:ascii="Times New Roman" w:hAnsi="Times New Roman" w:cs="Times New Roman"/>
          <w:b/>
          <w:sz w:val="24"/>
          <w:szCs w:val="24"/>
        </w:rPr>
      </w:pPr>
      <w:r w:rsidRPr="003243B9">
        <w:rPr>
          <w:rFonts w:ascii="Times New Roman" w:hAnsi="Times New Roman" w:cs="Times New Roman"/>
          <w:b/>
          <w:sz w:val="24"/>
          <w:szCs w:val="24"/>
        </w:rPr>
        <w:t>Pharmacokinetic Analytical Methods</w:t>
      </w:r>
    </w:p>
    <w:p w:rsidR="00C35C1A" w:rsidRDefault="00C35C1A" w:rsidP="00C35C1A">
      <w:pPr>
        <w:spacing w:after="0" w:line="480" w:lineRule="auto"/>
        <w:contextualSpacing/>
        <w:rPr>
          <w:rFonts w:ascii="Times New Roman" w:hAnsi="Times New Roman" w:cs="Times New Roman"/>
          <w:iCs/>
          <w:sz w:val="24"/>
          <w:szCs w:val="24"/>
          <w:lang w:val="en-GB"/>
        </w:rPr>
      </w:pPr>
      <w:r w:rsidRPr="003A123D">
        <w:rPr>
          <w:rFonts w:ascii="Times New Roman" w:hAnsi="Times New Roman" w:cs="Times New Roman"/>
          <w:iCs/>
          <w:sz w:val="24"/>
          <w:szCs w:val="24"/>
          <w:lang w:val="en-GB"/>
        </w:rPr>
        <w:t>On d1, oxaliplatin 75 mg/m</w:t>
      </w:r>
      <w:r w:rsidRPr="003A123D">
        <w:rPr>
          <w:rFonts w:ascii="Times New Roman" w:hAnsi="Times New Roman" w:cs="Times New Roman"/>
          <w:iCs/>
          <w:sz w:val="24"/>
          <w:szCs w:val="24"/>
          <w:vertAlign w:val="superscript"/>
          <w:lang w:val="en-GB"/>
        </w:rPr>
        <w:t xml:space="preserve">2 </w:t>
      </w:r>
      <w:r w:rsidRPr="003A123D">
        <w:rPr>
          <w:rFonts w:ascii="Times New Roman" w:hAnsi="Times New Roman" w:cs="Times New Roman"/>
          <w:iCs/>
          <w:sz w:val="24"/>
          <w:szCs w:val="24"/>
          <w:lang w:val="en-GB"/>
        </w:rPr>
        <w:t>was admin</w:t>
      </w:r>
      <w:bookmarkStart w:id="0" w:name="_GoBack"/>
      <w:bookmarkEnd w:id="0"/>
      <w:r w:rsidRPr="003A123D">
        <w:rPr>
          <w:rFonts w:ascii="Times New Roman" w:hAnsi="Times New Roman" w:cs="Times New Roman"/>
          <w:iCs/>
          <w:sz w:val="24"/>
          <w:szCs w:val="24"/>
          <w:lang w:val="en-GB"/>
        </w:rPr>
        <w:t>istered alone as a 1 h</w:t>
      </w:r>
      <w:r>
        <w:rPr>
          <w:rFonts w:ascii="Times New Roman" w:hAnsi="Times New Roman" w:cs="Times New Roman"/>
          <w:iCs/>
          <w:sz w:val="24"/>
          <w:szCs w:val="24"/>
          <w:lang w:val="en-GB"/>
        </w:rPr>
        <w:t>our(h)</w:t>
      </w:r>
      <w:r w:rsidRPr="003A123D">
        <w:rPr>
          <w:rFonts w:ascii="Times New Roman" w:hAnsi="Times New Roman" w:cs="Times New Roman"/>
          <w:iCs/>
          <w:sz w:val="24"/>
          <w:szCs w:val="24"/>
          <w:lang w:val="en-GB"/>
        </w:rPr>
        <w:t xml:space="preserve"> IV infusion in all patients.  All blood samples consist</w:t>
      </w:r>
      <w:r>
        <w:rPr>
          <w:rFonts w:ascii="Times New Roman" w:hAnsi="Times New Roman" w:cs="Times New Roman"/>
          <w:iCs/>
          <w:sz w:val="24"/>
          <w:szCs w:val="24"/>
          <w:lang w:val="en-GB"/>
        </w:rPr>
        <w:t>ed</w:t>
      </w:r>
      <w:r w:rsidRPr="003A123D">
        <w:rPr>
          <w:rFonts w:ascii="Times New Roman" w:hAnsi="Times New Roman" w:cs="Times New Roman"/>
          <w:iCs/>
          <w:sz w:val="24"/>
          <w:szCs w:val="24"/>
          <w:lang w:val="en-GB"/>
        </w:rPr>
        <w:t xml:space="preserve"> of 5 mL using a tube containing sodium heparin obtained from an IV access </w:t>
      </w:r>
      <w:r>
        <w:rPr>
          <w:rFonts w:ascii="Times New Roman" w:hAnsi="Times New Roman" w:cs="Times New Roman"/>
          <w:iCs/>
          <w:sz w:val="24"/>
          <w:szCs w:val="24"/>
          <w:lang w:val="en-GB"/>
        </w:rPr>
        <w:t xml:space="preserve">site that was </w:t>
      </w:r>
      <w:r w:rsidRPr="003A123D">
        <w:rPr>
          <w:rFonts w:ascii="Times New Roman" w:hAnsi="Times New Roman" w:cs="Times New Roman"/>
          <w:iCs/>
          <w:sz w:val="24"/>
          <w:szCs w:val="24"/>
          <w:lang w:val="en-GB"/>
        </w:rPr>
        <w:t>not used for drug administration.  On d1, blood samples were obtained prior to and 30 minutes after the start of the infusion, prior to the end of the infusion, and 30 minutes, 1</w:t>
      </w:r>
      <w:r>
        <w:rPr>
          <w:rFonts w:ascii="Times New Roman" w:hAnsi="Times New Roman" w:cs="Times New Roman"/>
          <w:iCs/>
          <w:sz w:val="24"/>
          <w:szCs w:val="24"/>
          <w:lang w:val="en-GB"/>
        </w:rPr>
        <w:t xml:space="preserve"> </w:t>
      </w:r>
      <w:r w:rsidRPr="003A123D">
        <w:rPr>
          <w:rFonts w:ascii="Times New Roman" w:hAnsi="Times New Roman" w:cs="Times New Roman"/>
          <w:iCs/>
          <w:sz w:val="24"/>
          <w:szCs w:val="24"/>
          <w:lang w:val="en-GB"/>
        </w:rPr>
        <w:t>h, 2 h, 4 h, 6 h, and 24 h after the end of the oxaliplatin IV infusion</w:t>
      </w:r>
      <w:r>
        <w:rPr>
          <w:rFonts w:ascii="Times New Roman" w:hAnsi="Times New Roman" w:cs="Times New Roman"/>
          <w:iCs/>
          <w:sz w:val="24"/>
          <w:szCs w:val="24"/>
          <w:lang w:val="en-GB"/>
        </w:rPr>
        <w:t>.</w:t>
      </w:r>
      <w:r w:rsidRPr="0031650E">
        <w:rPr>
          <w:rFonts w:ascii="Times New Roman" w:hAnsi="Times New Roman" w:cs="Times New Roman"/>
          <w:iCs/>
          <w:sz w:val="24"/>
          <w:szCs w:val="24"/>
          <w:lang w:val="en-GB"/>
        </w:rPr>
        <w:t xml:space="preserve"> </w:t>
      </w:r>
      <w:r w:rsidRPr="003A123D">
        <w:rPr>
          <w:rFonts w:ascii="Times New Roman" w:hAnsi="Times New Roman" w:cs="Times New Roman"/>
          <w:iCs/>
          <w:sz w:val="24"/>
          <w:szCs w:val="24"/>
          <w:lang w:val="en-GB"/>
        </w:rPr>
        <w:t>Samples were transferred to labelled pre</w:t>
      </w:r>
      <w:r>
        <w:rPr>
          <w:rFonts w:ascii="Times New Roman" w:hAnsi="Times New Roman" w:cs="Times New Roman"/>
          <w:iCs/>
          <w:sz w:val="24"/>
          <w:szCs w:val="24"/>
          <w:lang w:val="en-GB"/>
        </w:rPr>
        <w:t>-</w:t>
      </w:r>
      <w:r w:rsidRPr="003A123D">
        <w:rPr>
          <w:rFonts w:ascii="Times New Roman" w:hAnsi="Times New Roman" w:cs="Times New Roman"/>
          <w:iCs/>
          <w:sz w:val="24"/>
          <w:szCs w:val="24"/>
          <w:lang w:val="en-GB"/>
        </w:rPr>
        <w:t xml:space="preserve">cooled tubes, </w:t>
      </w:r>
      <w:r>
        <w:rPr>
          <w:rFonts w:ascii="Times New Roman" w:hAnsi="Times New Roman" w:cs="Times New Roman"/>
          <w:iCs/>
          <w:sz w:val="24"/>
          <w:szCs w:val="24"/>
          <w:lang w:val="en-GB"/>
        </w:rPr>
        <w:t>stored at -80°C and sent on dry ice</w:t>
      </w:r>
      <w:r w:rsidRPr="003A123D">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for</w:t>
      </w:r>
      <w:r w:rsidRPr="003A123D">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analytical studies.</w:t>
      </w:r>
    </w:p>
    <w:p w:rsidR="00C35C1A" w:rsidRDefault="00C35C1A" w:rsidP="00C35C1A">
      <w:pPr>
        <w:spacing w:after="0" w:line="480" w:lineRule="auto"/>
        <w:contextualSpacing/>
        <w:rPr>
          <w:rFonts w:ascii="Times New Roman" w:hAnsi="Times New Roman" w:cs="Times New Roman"/>
          <w:b/>
          <w:iCs/>
          <w:sz w:val="24"/>
          <w:szCs w:val="24"/>
          <w:lang w:val="en-GB"/>
        </w:rPr>
      </w:pPr>
      <w:r w:rsidRPr="003A123D">
        <w:rPr>
          <w:rFonts w:ascii="Times New Roman" w:hAnsi="Times New Roman" w:cs="Times New Roman"/>
          <w:iCs/>
          <w:sz w:val="24"/>
          <w:szCs w:val="24"/>
          <w:lang w:val="en-GB"/>
        </w:rPr>
        <w:t>On d2, docetaxel was administered IP via gravity with infusion time noted.  Blood and peritoneal fluid samples (5 mL using sodium heparin tube) were obtained prior to administration</w:t>
      </w:r>
      <w:r>
        <w:rPr>
          <w:rFonts w:ascii="Times New Roman" w:hAnsi="Times New Roman" w:cs="Times New Roman"/>
          <w:iCs/>
          <w:sz w:val="24"/>
          <w:szCs w:val="24"/>
          <w:lang w:val="en-GB"/>
        </w:rPr>
        <w:t>,</w:t>
      </w:r>
      <w:r w:rsidRPr="003A123D">
        <w:rPr>
          <w:rFonts w:ascii="Times New Roman" w:hAnsi="Times New Roman" w:cs="Times New Roman"/>
          <w:iCs/>
          <w:sz w:val="24"/>
          <w:szCs w:val="24"/>
          <w:lang w:val="en-GB"/>
        </w:rPr>
        <w:t xml:space="preserve"> 0.5 and 1 h after the start of the IP infusion</w:t>
      </w:r>
      <w:r>
        <w:rPr>
          <w:rFonts w:ascii="Times New Roman" w:hAnsi="Times New Roman" w:cs="Times New Roman"/>
          <w:iCs/>
          <w:sz w:val="24"/>
          <w:szCs w:val="24"/>
          <w:lang w:val="en-GB"/>
        </w:rPr>
        <w:t>,</w:t>
      </w:r>
      <w:r w:rsidRPr="003A123D">
        <w:rPr>
          <w:rFonts w:ascii="Times New Roman" w:hAnsi="Times New Roman" w:cs="Times New Roman"/>
          <w:iCs/>
          <w:sz w:val="24"/>
          <w:szCs w:val="24"/>
          <w:lang w:val="en-GB"/>
        </w:rPr>
        <w:t xml:space="preserve"> and at 1 h, 2 h, 4 h, 6 h, 24 h, 48 h, and 72 h after the end of the IP infusion. Prior to obtaining all </w:t>
      </w:r>
      <w:r>
        <w:rPr>
          <w:rFonts w:ascii="Times New Roman" w:hAnsi="Times New Roman" w:cs="Times New Roman"/>
          <w:iCs/>
          <w:sz w:val="24"/>
          <w:szCs w:val="24"/>
          <w:lang w:val="en-GB"/>
        </w:rPr>
        <w:t>IP</w:t>
      </w:r>
      <w:r w:rsidRPr="003A123D">
        <w:rPr>
          <w:rFonts w:ascii="Times New Roman" w:hAnsi="Times New Roman" w:cs="Times New Roman"/>
          <w:iCs/>
          <w:sz w:val="24"/>
          <w:szCs w:val="24"/>
          <w:lang w:val="en-GB"/>
        </w:rPr>
        <w:t xml:space="preserve"> fluid samples</w:t>
      </w:r>
      <w:r>
        <w:rPr>
          <w:rFonts w:ascii="Times New Roman" w:hAnsi="Times New Roman" w:cs="Times New Roman"/>
          <w:iCs/>
          <w:sz w:val="24"/>
          <w:szCs w:val="24"/>
          <w:lang w:val="en-GB"/>
        </w:rPr>
        <w:t>,</w:t>
      </w:r>
      <w:r w:rsidRPr="003A123D">
        <w:rPr>
          <w:rFonts w:ascii="Times New Roman" w:hAnsi="Times New Roman" w:cs="Times New Roman"/>
          <w:iCs/>
          <w:sz w:val="24"/>
          <w:szCs w:val="24"/>
          <w:lang w:val="en-GB"/>
        </w:rPr>
        <w:t xml:space="preserve"> the IP port was flushed with 10 mL of D5W.  Samples were transferred to labelled pre</w:t>
      </w:r>
      <w:r>
        <w:rPr>
          <w:rFonts w:ascii="Times New Roman" w:hAnsi="Times New Roman" w:cs="Times New Roman"/>
          <w:iCs/>
          <w:sz w:val="24"/>
          <w:szCs w:val="24"/>
          <w:lang w:val="en-GB"/>
        </w:rPr>
        <w:t>-</w:t>
      </w:r>
      <w:r w:rsidRPr="003A123D">
        <w:rPr>
          <w:rFonts w:ascii="Times New Roman" w:hAnsi="Times New Roman" w:cs="Times New Roman"/>
          <w:iCs/>
          <w:sz w:val="24"/>
          <w:szCs w:val="24"/>
          <w:lang w:val="en-GB"/>
        </w:rPr>
        <w:t xml:space="preserve">cooled tubes, </w:t>
      </w:r>
      <w:r>
        <w:rPr>
          <w:rFonts w:ascii="Times New Roman" w:hAnsi="Times New Roman" w:cs="Times New Roman"/>
          <w:iCs/>
          <w:sz w:val="24"/>
          <w:szCs w:val="24"/>
          <w:lang w:val="en-GB"/>
        </w:rPr>
        <w:t xml:space="preserve">stored at -80°C </w:t>
      </w:r>
      <w:r w:rsidRPr="003A123D">
        <w:rPr>
          <w:rFonts w:ascii="Times New Roman" w:hAnsi="Times New Roman" w:cs="Times New Roman"/>
          <w:iCs/>
          <w:sz w:val="24"/>
          <w:szCs w:val="24"/>
          <w:lang w:val="en-GB"/>
        </w:rPr>
        <w:t xml:space="preserve">and sent on dry ice </w:t>
      </w:r>
      <w:r>
        <w:rPr>
          <w:rFonts w:ascii="Times New Roman" w:hAnsi="Times New Roman" w:cs="Times New Roman"/>
          <w:iCs/>
          <w:sz w:val="24"/>
          <w:szCs w:val="24"/>
          <w:lang w:val="en-GB"/>
        </w:rPr>
        <w:t>for</w:t>
      </w:r>
      <w:r w:rsidRPr="003A123D">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analytical studies</w:t>
      </w:r>
      <w:r w:rsidR="003C6F4B">
        <w:rPr>
          <w:rFonts w:ascii="Times New Roman" w:hAnsi="Times New Roman" w:cs="Times New Roman"/>
          <w:iCs/>
          <w:sz w:val="24"/>
          <w:szCs w:val="24"/>
          <w:lang w:val="en-GB"/>
        </w:rPr>
        <w:t>.</w:t>
      </w:r>
    </w:p>
    <w:p w:rsidR="003C6F4B" w:rsidRDefault="003C6F4B" w:rsidP="0078141D">
      <w:pPr>
        <w:spacing w:after="0" w:line="480" w:lineRule="auto"/>
        <w:contextualSpacing/>
        <w:rPr>
          <w:rFonts w:ascii="Times New Roman" w:hAnsi="Times New Roman" w:cs="Times New Roman"/>
          <w:b/>
          <w:iCs/>
          <w:sz w:val="24"/>
          <w:szCs w:val="24"/>
          <w:lang w:val="en-GB"/>
        </w:rPr>
      </w:pPr>
    </w:p>
    <w:p w:rsidR="0078141D" w:rsidRPr="0078141D" w:rsidRDefault="0078141D" w:rsidP="0078141D">
      <w:pPr>
        <w:spacing w:after="0" w:line="480" w:lineRule="auto"/>
        <w:contextualSpacing/>
        <w:rPr>
          <w:rFonts w:ascii="Times New Roman" w:hAnsi="Times New Roman" w:cs="Times New Roman"/>
          <w:b/>
          <w:iCs/>
          <w:sz w:val="24"/>
          <w:szCs w:val="24"/>
          <w:lang w:val="en-GB"/>
        </w:rPr>
      </w:pPr>
      <w:r w:rsidRPr="0078141D">
        <w:rPr>
          <w:rFonts w:ascii="Times New Roman" w:hAnsi="Times New Roman" w:cs="Times New Roman"/>
          <w:b/>
          <w:iCs/>
          <w:sz w:val="24"/>
          <w:szCs w:val="24"/>
          <w:lang w:val="en-GB"/>
        </w:rPr>
        <w:t>Analytic Methods</w:t>
      </w:r>
    </w:p>
    <w:p w:rsidR="0078141D" w:rsidRPr="0078141D" w:rsidRDefault="0078141D" w:rsidP="0078141D">
      <w:pPr>
        <w:spacing w:after="0" w:line="480" w:lineRule="auto"/>
        <w:contextualSpacing/>
        <w:rPr>
          <w:rFonts w:ascii="Times New Roman" w:hAnsi="Times New Roman" w:cs="Times New Roman"/>
          <w:i/>
          <w:iCs/>
          <w:sz w:val="24"/>
          <w:szCs w:val="24"/>
          <w:lang w:val="en-GB"/>
        </w:rPr>
      </w:pPr>
      <w:r w:rsidRPr="0078141D">
        <w:rPr>
          <w:rFonts w:ascii="Times New Roman" w:hAnsi="Times New Roman" w:cs="Times New Roman"/>
          <w:i/>
          <w:sz w:val="24"/>
          <w:szCs w:val="24"/>
        </w:rPr>
        <w:t>Oxaliplatin</w:t>
      </w:r>
    </w:p>
    <w:p w:rsidR="0078141D" w:rsidRPr="0078141D" w:rsidRDefault="0078141D" w:rsidP="0078141D">
      <w:pPr>
        <w:spacing w:after="0" w:line="480" w:lineRule="auto"/>
        <w:contextualSpacing/>
        <w:rPr>
          <w:rFonts w:ascii="Times New Roman" w:hAnsi="Times New Roman" w:cs="Times New Roman"/>
          <w:sz w:val="24"/>
          <w:szCs w:val="24"/>
        </w:rPr>
      </w:pPr>
      <w:r w:rsidRPr="0078141D">
        <w:rPr>
          <w:rFonts w:ascii="Times New Roman" w:hAnsi="Times New Roman" w:cs="Times New Roman"/>
          <w:iCs/>
          <w:sz w:val="24"/>
          <w:szCs w:val="24"/>
          <w:lang w:val="en-GB"/>
        </w:rPr>
        <w:t xml:space="preserve">Oxaliplatin unbound and total (unbound plus bound) samples in plasma were </w:t>
      </w:r>
      <w:proofErr w:type="spellStart"/>
      <w:r w:rsidRPr="0078141D">
        <w:rPr>
          <w:rFonts w:ascii="Times New Roman" w:hAnsi="Times New Roman" w:cs="Times New Roman"/>
          <w:iCs/>
          <w:sz w:val="24"/>
          <w:szCs w:val="24"/>
          <w:lang w:val="en-GB"/>
        </w:rPr>
        <w:t>analyzed</w:t>
      </w:r>
      <w:proofErr w:type="spellEnd"/>
      <w:r w:rsidRPr="0078141D">
        <w:rPr>
          <w:rFonts w:ascii="Times New Roman" w:hAnsi="Times New Roman" w:cs="Times New Roman"/>
          <w:iCs/>
          <w:sz w:val="24"/>
          <w:szCs w:val="24"/>
          <w:lang w:val="en-GB"/>
        </w:rPr>
        <w:t xml:space="preserve">. A </w:t>
      </w:r>
      <w:r w:rsidRPr="0078141D">
        <w:rPr>
          <w:rFonts w:ascii="Times New Roman" w:hAnsi="Times New Roman" w:cs="Times New Roman"/>
          <w:bCs/>
          <w:sz w:val="24"/>
          <w:szCs w:val="24"/>
        </w:rPr>
        <w:t>100 µL of plasma was processed by adding 100 µL of 200 ng/mL iridium (internal standard) in 70% HNO</w:t>
      </w:r>
      <w:r w:rsidRPr="0078141D">
        <w:rPr>
          <w:rFonts w:ascii="Times New Roman" w:hAnsi="Times New Roman" w:cs="Times New Roman"/>
          <w:bCs/>
          <w:sz w:val="24"/>
          <w:szCs w:val="24"/>
          <w:vertAlign w:val="subscript"/>
        </w:rPr>
        <w:t>3</w:t>
      </w:r>
      <w:r w:rsidRPr="0078141D">
        <w:rPr>
          <w:rFonts w:ascii="Times New Roman" w:hAnsi="Times New Roman" w:cs="Times New Roman"/>
          <w:bCs/>
          <w:sz w:val="24"/>
          <w:szCs w:val="24"/>
        </w:rPr>
        <w:t xml:space="preserve">.  Samples were heated in a </w:t>
      </w:r>
      <w:proofErr w:type="spellStart"/>
      <w:r w:rsidRPr="0078141D">
        <w:rPr>
          <w:rFonts w:ascii="Times New Roman" w:hAnsi="Times New Roman" w:cs="Times New Roman"/>
          <w:bCs/>
          <w:sz w:val="24"/>
          <w:szCs w:val="24"/>
        </w:rPr>
        <w:t>thermoreactor</w:t>
      </w:r>
      <w:proofErr w:type="spellEnd"/>
      <w:r w:rsidRPr="0078141D">
        <w:rPr>
          <w:rFonts w:ascii="Times New Roman" w:hAnsi="Times New Roman" w:cs="Times New Roman"/>
          <w:bCs/>
          <w:sz w:val="24"/>
          <w:szCs w:val="24"/>
        </w:rPr>
        <w:t xml:space="preserve"> at 100°C for 1.5 hours.  1800 µL </w:t>
      </w:r>
      <w:proofErr w:type="spellStart"/>
      <w:r w:rsidRPr="0078141D">
        <w:rPr>
          <w:rFonts w:ascii="Times New Roman" w:hAnsi="Times New Roman" w:cs="Times New Roman"/>
          <w:bCs/>
          <w:sz w:val="24"/>
          <w:szCs w:val="24"/>
        </w:rPr>
        <w:t>millipore</w:t>
      </w:r>
      <w:proofErr w:type="spellEnd"/>
      <w:r w:rsidRPr="0078141D">
        <w:rPr>
          <w:rFonts w:ascii="Times New Roman" w:hAnsi="Times New Roman" w:cs="Times New Roman"/>
          <w:bCs/>
          <w:sz w:val="24"/>
          <w:szCs w:val="24"/>
        </w:rPr>
        <w:t xml:space="preserve"> double distilled water was added following heating. Plasma samples were filtered in centrifugal filter units with a </w:t>
      </w:r>
      <w:proofErr w:type="gramStart"/>
      <w:r w:rsidRPr="0078141D">
        <w:rPr>
          <w:rFonts w:ascii="Times New Roman" w:hAnsi="Times New Roman" w:cs="Times New Roman"/>
          <w:bCs/>
          <w:sz w:val="24"/>
          <w:szCs w:val="24"/>
        </w:rPr>
        <w:t>30,000 molecular</w:t>
      </w:r>
      <w:proofErr w:type="gramEnd"/>
      <w:r w:rsidRPr="0078141D">
        <w:rPr>
          <w:rFonts w:ascii="Times New Roman" w:hAnsi="Times New Roman" w:cs="Times New Roman"/>
          <w:bCs/>
          <w:sz w:val="24"/>
          <w:szCs w:val="24"/>
        </w:rPr>
        <w:t xml:space="preserve"> weight cut-off to obtain ultrafiltrate before processing. Total </w:t>
      </w:r>
      <w:r w:rsidRPr="0078141D">
        <w:rPr>
          <w:rFonts w:ascii="Times New Roman" w:hAnsi="Times New Roman" w:cs="Times New Roman"/>
          <w:bCs/>
          <w:sz w:val="24"/>
          <w:szCs w:val="24"/>
        </w:rPr>
        <w:lastRenderedPageBreak/>
        <w:t>and ultrafiltrate (unbound) platinum were measured in plasma via inductively coupled plasma mass spectrometry (ICP-MS) [</w:t>
      </w:r>
      <w:r w:rsidR="00930722">
        <w:rPr>
          <w:rFonts w:ascii="Times New Roman" w:hAnsi="Times New Roman" w:cs="Times New Roman"/>
          <w:bCs/>
          <w:sz w:val="24"/>
          <w:szCs w:val="24"/>
        </w:rPr>
        <w:t>9-10</w:t>
      </w:r>
      <w:r w:rsidRPr="0078141D">
        <w:rPr>
          <w:rFonts w:ascii="Times New Roman" w:hAnsi="Times New Roman" w:cs="Times New Roman"/>
          <w:bCs/>
          <w:sz w:val="24"/>
          <w:szCs w:val="24"/>
        </w:rPr>
        <w:t>].</w:t>
      </w:r>
    </w:p>
    <w:p w:rsidR="0078141D" w:rsidRPr="0078141D" w:rsidRDefault="0078141D" w:rsidP="0078141D">
      <w:pPr>
        <w:spacing w:after="0" w:line="480" w:lineRule="auto"/>
        <w:contextualSpacing/>
        <w:rPr>
          <w:rFonts w:ascii="Times New Roman" w:hAnsi="Times New Roman" w:cs="Times New Roman"/>
          <w:i/>
          <w:sz w:val="24"/>
          <w:szCs w:val="24"/>
        </w:rPr>
      </w:pPr>
    </w:p>
    <w:p w:rsidR="0078141D" w:rsidRPr="0078141D" w:rsidRDefault="0078141D" w:rsidP="0078141D">
      <w:pPr>
        <w:spacing w:after="0" w:line="480" w:lineRule="auto"/>
        <w:contextualSpacing/>
        <w:rPr>
          <w:rFonts w:ascii="Times New Roman" w:hAnsi="Times New Roman" w:cs="Times New Roman"/>
          <w:sz w:val="24"/>
          <w:szCs w:val="24"/>
        </w:rPr>
      </w:pPr>
      <w:r w:rsidRPr="0078141D">
        <w:rPr>
          <w:rFonts w:ascii="Times New Roman" w:hAnsi="Times New Roman" w:cs="Times New Roman"/>
          <w:i/>
          <w:sz w:val="24"/>
          <w:szCs w:val="24"/>
        </w:rPr>
        <w:t>Docetaxel</w:t>
      </w:r>
    </w:p>
    <w:p w:rsidR="0078141D" w:rsidRPr="0078141D" w:rsidRDefault="0078141D" w:rsidP="0078141D">
      <w:pPr>
        <w:spacing w:after="0" w:line="480" w:lineRule="auto"/>
        <w:contextualSpacing/>
        <w:rPr>
          <w:rFonts w:ascii="Times New Roman" w:hAnsi="Times New Roman" w:cs="Times New Roman"/>
          <w:sz w:val="24"/>
          <w:szCs w:val="24"/>
        </w:rPr>
      </w:pPr>
      <w:r w:rsidRPr="0078141D">
        <w:rPr>
          <w:rFonts w:ascii="Times New Roman" w:hAnsi="Times New Roman" w:cs="Times New Roman"/>
          <w:sz w:val="24"/>
          <w:szCs w:val="24"/>
        </w:rPr>
        <w:t>Docetaxel samples were analyzed via liquid chromatography/tandem mass spectrometry (LC-MS/MS). Docetaxel was extracted from 50 mL of plasma or IP fluid by protein precipitation with 200 µL acetonitrile containing 20 ng/mL paclitaxel (internal standard). Samples were vortexed for 5 minutes, centrifuged at 3,000 x g for 10 minutes at 4°C and evaporated to dryness under nitrogen.  Each sample was reconstituted in 50 µL methanol/0.1% formic acid and transferred to a glass 96-well plate insert containing 50 µL ddH</w:t>
      </w:r>
      <w:r w:rsidRPr="0078141D">
        <w:rPr>
          <w:rFonts w:ascii="Times New Roman" w:hAnsi="Times New Roman" w:cs="Times New Roman"/>
          <w:sz w:val="24"/>
          <w:szCs w:val="24"/>
          <w:vertAlign w:val="subscript"/>
        </w:rPr>
        <w:t>2</w:t>
      </w:r>
      <w:r w:rsidRPr="0078141D">
        <w:rPr>
          <w:rFonts w:ascii="Times New Roman" w:hAnsi="Times New Roman" w:cs="Times New Roman"/>
          <w:sz w:val="24"/>
          <w:szCs w:val="24"/>
        </w:rPr>
        <w:t xml:space="preserve">O.  10 µL of sample injected for LC-MS/MS analysis.   Docetaxel and paclitaxel were separated on a Waters </w:t>
      </w:r>
      <w:proofErr w:type="spellStart"/>
      <w:r w:rsidRPr="0078141D">
        <w:rPr>
          <w:rFonts w:ascii="Times New Roman" w:hAnsi="Times New Roman" w:cs="Times New Roman"/>
          <w:sz w:val="24"/>
          <w:szCs w:val="24"/>
        </w:rPr>
        <w:t>XSelect</w:t>
      </w:r>
      <w:proofErr w:type="spellEnd"/>
      <w:r w:rsidRPr="0078141D">
        <w:rPr>
          <w:rFonts w:ascii="Times New Roman" w:hAnsi="Times New Roman" w:cs="Times New Roman"/>
          <w:sz w:val="24"/>
          <w:szCs w:val="24"/>
        </w:rPr>
        <w:t xml:space="preserve"> CSH Phenyl-Hexyl column (2.1 x 50 mm, 130 Å pore size, 5 mm particle size) using a gradient mobile phase consisting of 0.1% formic acid in water (mobile phase A) and 0.1% formic acid and 10% isopropanol in acetonitrile (mobile phase B) on a Shimadzu LC-20AD liquid </w:t>
      </w:r>
      <w:proofErr w:type="spellStart"/>
      <w:r w:rsidRPr="0078141D">
        <w:rPr>
          <w:rFonts w:ascii="Times New Roman" w:hAnsi="Times New Roman" w:cs="Times New Roman"/>
          <w:sz w:val="24"/>
          <w:szCs w:val="24"/>
        </w:rPr>
        <w:t>chomatograph</w:t>
      </w:r>
      <w:proofErr w:type="spellEnd"/>
      <w:r w:rsidRPr="0078141D">
        <w:rPr>
          <w:rFonts w:ascii="Times New Roman" w:hAnsi="Times New Roman" w:cs="Times New Roman"/>
          <w:sz w:val="24"/>
          <w:szCs w:val="24"/>
        </w:rPr>
        <w:t xml:space="preserve">.  The flow rate was 0.33 mL/min and the total run time was 6 minutes.  The compounds were measured using a </w:t>
      </w:r>
      <w:proofErr w:type="spellStart"/>
      <w:r w:rsidRPr="0078141D">
        <w:rPr>
          <w:rFonts w:ascii="Times New Roman" w:hAnsi="Times New Roman" w:cs="Times New Roman"/>
          <w:sz w:val="24"/>
          <w:szCs w:val="24"/>
        </w:rPr>
        <w:t>Thermo</w:t>
      </w:r>
      <w:proofErr w:type="spellEnd"/>
      <w:r w:rsidRPr="0078141D">
        <w:rPr>
          <w:rFonts w:ascii="Times New Roman" w:hAnsi="Times New Roman" w:cs="Times New Roman"/>
          <w:sz w:val="24"/>
          <w:szCs w:val="24"/>
        </w:rPr>
        <w:t xml:space="preserve"> TSQ Ultra triple quadrupole mass spectrometer equipped with a heated electrospray ionization source in the positive ion mode.  The discharge current was held at 3.7 kV and the vaporizer temperature at 225°C.  Docetaxel and paclitaxel were detected by selected-reaction monitoring (SRM) using the transitions 808 -&gt; 527 and 854 -&gt; 286, respectively.  Calibration curves were fit using linear regression with 1/X</w:t>
      </w:r>
      <w:r w:rsidRPr="0078141D">
        <w:rPr>
          <w:rFonts w:ascii="Times New Roman" w:hAnsi="Times New Roman" w:cs="Times New Roman"/>
          <w:sz w:val="24"/>
          <w:szCs w:val="24"/>
          <w:vertAlign w:val="superscript"/>
        </w:rPr>
        <w:t>2</w:t>
      </w:r>
      <w:r w:rsidRPr="0078141D">
        <w:rPr>
          <w:rFonts w:ascii="Times New Roman" w:hAnsi="Times New Roman" w:cs="Times New Roman"/>
          <w:sz w:val="24"/>
          <w:szCs w:val="24"/>
        </w:rPr>
        <w:t xml:space="preserve"> weighting in </w:t>
      </w:r>
      <w:proofErr w:type="spellStart"/>
      <w:r w:rsidRPr="0078141D">
        <w:rPr>
          <w:rFonts w:ascii="Times New Roman" w:hAnsi="Times New Roman" w:cs="Times New Roman"/>
          <w:sz w:val="24"/>
          <w:szCs w:val="24"/>
        </w:rPr>
        <w:t>Xcalibur</w:t>
      </w:r>
      <w:proofErr w:type="spellEnd"/>
      <w:r w:rsidRPr="0078141D">
        <w:rPr>
          <w:rFonts w:ascii="Times New Roman" w:hAnsi="Times New Roman" w:cs="Times New Roman"/>
          <w:sz w:val="24"/>
          <w:szCs w:val="24"/>
          <w:vertAlign w:val="superscript"/>
        </w:rPr>
        <w:t>®</w:t>
      </w:r>
      <w:r w:rsidRPr="0078141D">
        <w:rPr>
          <w:rFonts w:ascii="Times New Roman" w:hAnsi="Times New Roman" w:cs="Times New Roman"/>
          <w:sz w:val="24"/>
          <w:szCs w:val="24"/>
        </w:rPr>
        <w:t xml:space="preserve"> v. 2.0 (</w:t>
      </w:r>
      <w:proofErr w:type="spellStart"/>
      <w:r w:rsidRPr="0078141D">
        <w:rPr>
          <w:rFonts w:ascii="Times New Roman" w:hAnsi="Times New Roman" w:cs="Times New Roman"/>
          <w:sz w:val="24"/>
          <w:szCs w:val="24"/>
        </w:rPr>
        <w:t>Thermo</w:t>
      </w:r>
      <w:proofErr w:type="spellEnd"/>
      <w:r w:rsidRPr="0078141D">
        <w:rPr>
          <w:rFonts w:ascii="Times New Roman" w:hAnsi="Times New Roman" w:cs="Times New Roman"/>
          <w:sz w:val="24"/>
          <w:szCs w:val="24"/>
        </w:rPr>
        <w:t xml:space="preserve"> Fisher Scientific, Waltham, MA) [</w:t>
      </w:r>
      <w:r w:rsidR="00930722">
        <w:rPr>
          <w:rFonts w:ascii="Times New Roman" w:hAnsi="Times New Roman" w:cs="Times New Roman"/>
          <w:sz w:val="24"/>
          <w:szCs w:val="24"/>
        </w:rPr>
        <w:t>11-12</w:t>
      </w:r>
      <w:r w:rsidRPr="0078141D">
        <w:rPr>
          <w:rFonts w:ascii="Times New Roman" w:hAnsi="Times New Roman" w:cs="Times New Roman"/>
          <w:sz w:val="24"/>
          <w:szCs w:val="24"/>
        </w:rPr>
        <w:t>].</w:t>
      </w:r>
    </w:p>
    <w:p w:rsidR="001045AB" w:rsidRDefault="001045AB" w:rsidP="001045AB">
      <w:pPr>
        <w:spacing w:after="0" w:line="480" w:lineRule="auto"/>
        <w:contextualSpacing/>
        <w:rPr>
          <w:rFonts w:ascii="Times New Roman" w:hAnsi="Times New Roman" w:cs="Times New Roman"/>
          <w:b/>
          <w:iCs/>
          <w:sz w:val="24"/>
          <w:szCs w:val="24"/>
          <w:lang w:val="en-GB"/>
        </w:rPr>
      </w:pPr>
    </w:p>
    <w:p w:rsidR="001045AB" w:rsidRPr="00257B3B" w:rsidRDefault="001045AB" w:rsidP="001045AB">
      <w:pPr>
        <w:spacing w:after="0" w:line="480" w:lineRule="auto"/>
        <w:contextualSpacing/>
        <w:rPr>
          <w:rFonts w:ascii="Times New Roman" w:hAnsi="Times New Roman" w:cs="Times New Roman"/>
          <w:iCs/>
          <w:sz w:val="24"/>
          <w:szCs w:val="24"/>
          <w:lang w:val="en-GB"/>
        </w:rPr>
      </w:pPr>
      <w:r w:rsidRPr="00257B3B">
        <w:rPr>
          <w:rFonts w:ascii="Times New Roman" w:hAnsi="Times New Roman" w:cs="Times New Roman"/>
          <w:b/>
          <w:iCs/>
          <w:sz w:val="24"/>
          <w:szCs w:val="24"/>
          <w:lang w:val="en-GB"/>
        </w:rPr>
        <w:t>Pharmacokinetic Analysis</w:t>
      </w:r>
    </w:p>
    <w:p w:rsidR="001045AB" w:rsidRPr="00257B3B" w:rsidRDefault="001045AB" w:rsidP="001045AB">
      <w:pPr>
        <w:spacing w:after="0" w:line="480" w:lineRule="auto"/>
        <w:contextualSpacing/>
        <w:rPr>
          <w:rFonts w:ascii="Times New Roman" w:hAnsi="Times New Roman" w:cs="Times New Roman"/>
          <w:i/>
          <w:iCs/>
          <w:sz w:val="24"/>
          <w:szCs w:val="24"/>
          <w:lang w:val="en-GB"/>
        </w:rPr>
      </w:pPr>
      <w:r w:rsidRPr="00257B3B">
        <w:rPr>
          <w:rFonts w:ascii="Times New Roman" w:hAnsi="Times New Roman" w:cs="Times New Roman"/>
          <w:i/>
          <w:iCs/>
          <w:sz w:val="24"/>
          <w:szCs w:val="24"/>
          <w:lang w:val="en-GB"/>
        </w:rPr>
        <w:lastRenderedPageBreak/>
        <w:t>Oxaliplatin</w:t>
      </w:r>
    </w:p>
    <w:p w:rsidR="001045AB" w:rsidRPr="00257B3B" w:rsidRDefault="001045AB" w:rsidP="001045AB">
      <w:pPr>
        <w:spacing w:after="0" w:line="480" w:lineRule="auto"/>
        <w:contextualSpacing/>
        <w:rPr>
          <w:rFonts w:ascii="Times New Roman" w:hAnsi="Times New Roman" w:cs="Times New Roman"/>
          <w:sz w:val="24"/>
          <w:szCs w:val="24"/>
        </w:rPr>
      </w:pPr>
      <w:r w:rsidRPr="00257B3B">
        <w:rPr>
          <w:rFonts w:ascii="Times New Roman" w:hAnsi="Times New Roman" w:cs="Times New Roman"/>
          <w:sz w:val="24"/>
          <w:szCs w:val="24"/>
        </w:rPr>
        <w:t xml:space="preserve">Noncompartmental pharmacokinetic analysis was performed using </w:t>
      </w:r>
      <w:proofErr w:type="spellStart"/>
      <w:r w:rsidRPr="00257B3B">
        <w:rPr>
          <w:rFonts w:ascii="Times New Roman" w:hAnsi="Times New Roman" w:cs="Times New Roman"/>
          <w:sz w:val="24"/>
          <w:szCs w:val="24"/>
        </w:rPr>
        <w:t>WinNonlin</w:t>
      </w:r>
      <w:proofErr w:type="spellEnd"/>
      <w:r w:rsidRPr="00257B3B">
        <w:rPr>
          <w:rFonts w:ascii="Times New Roman" w:hAnsi="Times New Roman" w:cs="Times New Roman"/>
          <w:sz w:val="24"/>
          <w:szCs w:val="24"/>
        </w:rPr>
        <w:t xml:space="preserve"> Software version 5.2.1 (Pharsight Corp., Mountain View, CA) </w:t>
      </w:r>
      <w:r w:rsidRPr="00257B3B">
        <w:rPr>
          <w:rFonts w:ascii="Times New Roman" w:hAnsi="Times New Roman" w:cs="Times New Roman"/>
          <w:iCs/>
          <w:sz w:val="24"/>
          <w:szCs w:val="24"/>
          <w:lang w:val="en-GB"/>
        </w:rPr>
        <w:t xml:space="preserve">on both total and ultrafiltrate platinum (Pt) concentration versus time curves in plasma.  Area under the plasma </w:t>
      </w:r>
      <w:proofErr w:type="spellStart"/>
      <w:r w:rsidRPr="00257B3B">
        <w:rPr>
          <w:rFonts w:ascii="Times New Roman" w:hAnsi="Times New Roman" w:cs="Times New Roman"/>
          <w:iCs/>
          <w:sz w:val="24"/>
          <w:szCs w:val="24"/>
          <w:lang w:val="en-GB"/>
        </w:rPr>
        <w:t>concentratin</w:t>
      </w:r>
      <w:proofErr w:type="spellEnd"/>
      <w:r w:rsidRPr="00257B3B">
        <w:rPr>
          <w:rFonts w:ascii="Times New Roman" w:hAnsi="Times New Roman" w:cs="Times New Roman"/>
          <w:iCs/>
          <w:sz w:val="24"/>
          <w:szCs w:val="24"/>
          <w:lang w:val="en-GB"/>
        </w:rPr>
        <w:t xml:space="preserve"> ver</w:t>
      </w:r>
      <w:r>
        <w:rPr>
          <w:rFonts w:ascii="Times New Roman" w:hAnsi="Times New Roman" w:cs="Times New Roman"/>
          <w:iCs/>
          <w:sz w:val="24"/>
          <w:szCs w:val="24"/>
          <w:lang w:val="en-GB"/>
        </w:rPr>
        <w:t>s</w:t>
      </w:r>
      <w:r w:rsidRPr="00257B3B">
        <w:rPr>
          <w:rFonts w:ascii="Times New Roman" w:hAnsi="Times New Roman" w:cs="Times New Roman"/>
          <w:iCs/>
          <w:sz w:val="24"/>
          <w:szCs w:val="24"/>
          <w:lang w:val="en-GB"/>
        </w:rPr>
        <w:t>us time curves (</w:t>
      </w:r>
      <w:r w:rsidRPr="00257B3B">
        <w:rPr>
          <w:rFonts w:ascii="Times New Roman" w:hAnsi="Times New Roman" w:cs="Times New Roman"/>
          <w:sz w:val="24"/>
          <w:szCs w:val="24"/>
        </w:rPr>
        <w:t>AUC) from 0 to infinity (AUC</w:t>
      </w:r>
      <w:r w:rsidRPr="00257B3B">
        <w:rPr>
          <w:rFonts w:ascii="Times New Roman" w:hAnsi="Times New Roman" w:cs="Times New Roman"/>
          <w:sz w:val="24"/>
          <w:szCs w:val="24"/>
          <w:vertAlign w:val="subscript"/>
        </w:rPr>
        <w:t>0-∞</w:t>
      </w:r>
      <w:r w:rsidRPr="00257B3B">
        <w:rPr>
          <w:rFonts w:ascii="Times New Roman" w:hAnsi="Times New Roman" w:cs="Times New Roman"/>
          <w:sz w:val="24"/>
          <w:szCs w:val="24"/>
        </w:rPr>
        <w:t>), maximum plasma concentration (</w:t>
      </w:r>
      <w:proofErr w:type="spellStart"/>
      <w:r w:rsidRPr="00257B3B">
        <w:rPr>
          <w:rFonts w:ascii="Times New Roman" w:hAnsi="Times New Roman" w:cs="Times New Roman"/>
          <w:sz w:val="24"/>
          <w:szCs w:val="24"/>
        </w:rPr>
        <w:t>C</w:t>
      </w:r>
      <w:r w:rsidRPr="00257B3B">
        <w:rPr>
          <w:rFonts w:ascii="Times New Roman" w:hAnsi="Times New Roman" w:cs="Times New Roman"/>
          <w:sz w:val="24"/>
          <w:szCs w:val="24"/>
          <w:vertAlign w:val="subscript"/>
        </w:rPr>
        <w:t>max</w:t>
      </w:r>
      <w:proofErr w:type="spellEnd"/>
      <w:r w:rsidRPr="00257B3B">
        <w:rPr>
          <w:rFonts w:ascii="Times New Roman" w:hAnsi="Times New Roman" w:cs="Times New Roman"/>
          <w:sz w:val="24"/>
          <w:szCs w:val="24"/>
        </w:rPr>
        <w:t>) and systemic plasma clearance (CL), volume of distribution (</w:t>
      </w:r>
      <w:proofErr w:type="spellStart"/>
      <w:r w:rsidRPr="00257B3B">
        <w:rPr>
          <w:rFonts w:ascii="Times New Roman" w:hAnsi="Times New Roman" w:cs="Times New Roman"/>
          <w:sz w:val="24"/>
          <w:szCs w:val="24"/>
        </w:rPr>
        <w:t>V</w:t>
      </w:r>
      <w:r w:rsidRPr="00257B3B">
        <w:rPr>
          <w:rFonts w:ascii="Times New Roman" w:hAnsi="Times New Roman" w:cs="Times New Roman"/>
          <w:sz w:val="24"/>
          <w:szCs w:val="24"/>
          <w:vertAlign w:val="subscript"/>
        </w:rPr>
        <w:t>d</w:t>
      </w:r>
      <w:proofErr w:type="spellEnd"/>
      <w:r w:rsidRPr="00257B3B">
        <w:rPr>
          <w:rFonts w:ascii="Times New Roman" w:hAnsi="Times New Roman" w:cs="Times New Roman"/>
          <w:sz w:val="24"/>
          <w:szCs w:val="24"/>
        </w:rPr>
        <w:t>) and half-life (T</w:t>
      </w:r>
      <w:r w:rsidRPr="00257B3B">
        <w:rPr>
          <w:rFonts w:ascii="Times New Roman" w:hAnsi="Times New Roman" w:cs="Times New Roman"/>
          <w:sz w:val="24"/>
          <w:szCs w:val="24"/>
          <w:vertAlign w:val="subscript"/>
        </w:rPr>
        <w:t>1/2</w:t>
      </w:r>
      <w:r w:rsidRPr="00257B3B">
        <w:rPr>
          <w:rFonts w:ascii="Times New Roman" w:hAnsi="Times New Roman" w:cs="Times New Roman"/>
          <w:sz w:val="24"/>
          <w:szCs w:val="24"/>
        </w:rPr>
        <w:t>) were estimated using standard methods.</w:t>
      </w:r>
    </w:p>
    <w:p w:rsidR="001045AB" w:rsidRPr="00257B3B" w:rsidRDefault="001045AB" w:rsidP="001045AB">
      <w:pPr>
        <w:spacing w:after="0" w:line="480" w:lineRule="auto"/>
        <w:contextualSpacing/>
        <w:rPr>
          <w:rFonts w:ascii="Times New Roman" w:hAnsi="Times New Roman" w:cs="Times New Roman"/>
          <w:i/>
          <w:iCs/>
          <w:sz w:val="24"/>
          <w:szCs w:val="24"/>
          <w:lang w:val="en-GB"/>
        </w:rPr>
      </w:pPr>
    </w:p>
    <w:p w:rsidR="001045AB" w:rsidRPr="00257B3B" w:rsidRDefault="001045AB" w:rsidP="001045AB">
      <w:pPr>
        <w:spacing w:after="0" w:line="480" w:lineRule="auto"/>
        <w:contextualSpacing/>
        <w:rPr>
          <w:rFonts w:ascii="Times New Roman" w:hAnsi="Times New Roman" w:cs="Times New Roman"/>
          <w:i/>
          <w:iCs/>
          <w:sz w:val="24"/>
          <w:szCs w:val="24"/>
          <w:lang w:val="en-GB"/>
        </w:rPr>
      </w:pPr>
      <w:r w:rsidRPr="00257B3B">
        <w:rPr>
          <w:rFonts w:ascii="Times New Roman" w:hAnsi="Times New Roman" w:cs="Times New Roman"/>
          <w:i/>
          <w:iCs/>
          <w:sz w:val="24"/>
          <w:szCs w:val="24"/>
          <w:lang w:val="en-GB"/>
        </w:rPr>
        <w:t>Docetaxel</w:t>
      </w:r>
    </w:p>
    <w:p w:rsidR="001045AB" w:rsidRPr="003A123D" w:rsidRDefault="001045AB" w:rsidP="001045AB">
      <w:pPr>
        <w:spacing w:after="0" w:line="480" w:lineRule="auto"/>
        <w:contextualSpacing/>
        <w:rPr>
          <w:rFonts w:ascii="Times New Roman" w:hAnsi="Times New Roman" w:cs="Times New Roman"/>
          <w:iCs/>
          <w:sz w:val="24"/>
          <w:szCs w:val="24"/>
          <w:lang w:val="en-GB"/>
        </w:rPr>
      </w:pPr>
      <w:r w:rsidRPr="00257B3B">
        <w:rPr>
          <w:rFonts w:ascii="Times New Roman" w:hAnsi="Times New Roman" w:cs="Times New Roman"/>
          <w:sz w:val="24"/>
          <w:szCs w:val="24"/>
        </w:rPr>
        <w:t xml:space="preserve">Noncompartmental pharmacokinetic analysis was performed using </w:t>
      </w:r>
      <w:proofErr w:type="spellStart"/>
      <w:r w:rsidRPr="00257B3B">
        <w:rPr>
          <w:rFonts w:ascii="Times New Roman" w:hAnsi="Times New Roman" w:cs="Times New Roman"/>
          <w:sz w:val="24"/>
          <w:szCs w:val="24"/>
        </w:rPr>
        <w:t>WinNonlin</w:t>
      </w:r>
      <w:proofErr w:type="spellEnd"/>
      <w:r w:rsidRPr="00257B3B">
        <w:rPr>
          <w:rFonts w:ascii="Times New Roman" w:hAnsi="Times New Roman" w:cs="Times New Roman"/>
          <w:sz w:val="24"/>
          <w:szCs w:val="24"/>
        </w:rPr>
        <w:t xml:space="preserve"> Software version 5.2.1 (Pharsight Corp., Mountain View, CA) on docetaxel concentration versus time curves in plasma and IP fluid.  The AUC</w:t>
      </w:r>
      <w:r w:rsidRPr="00257B3B">
        <w:rPr>
          <w:rFonts w:ascii="Times New Roman" w:hAnsi="Times New Roman" w:cs="Times New Roman"/>
          <w:sz w:val="24"/>
          <w:szCs w:val="24"/>
          <w:vertAlign w:val="subscript"/>
        </w:rPr>
        <w:t>0-last</w:t>
      </w:r>
      <w:r w:rsidRPr="00257B3B">
        <w:rPr>
          <w:rFonts w:ascii="Times New Roman" w:hAnsi="Times New Roman" w:cs="Times New Roman"/>
          <w:sz w:val="24"/>
          <w:szCs w:val="24"/>
        </w:rPr>
        <w:t xml:space="preserve"> and </w:t>
      </w:r>
      <w:proofErr w:type="spellStart"/>
      <w:r w:rsidRPr="00257B3B">
        <w:rPr>
          <w:rFonts w:ascii="Times New Roman" w:hAnsi="Times New Roman" w:cs="Times New Roman"/>
          <w:sz w:val="24"/>
          <w:szCs w:val="24"/>
        </w:rPr>
        <w:t>C</w:t>
      </w:r>
      <w:r w:rsidRPr="00257B3B">
        <w:rPr>
          <w:rFonts w:ascii="Times New Roman" w:hAnsi="Times New Roman" w:cs="Times New Roman"/>
          <w:sz w:val="24"/>
          <w:szCs w:val="24"/>
          <w:vertAlign w:val="subscript"/>
        </w:rPr>
        <w:t>max</w:t>
      </w:r>
      <w:proofErr w:type="spellEnd"/>
      <w:r w:rsidRPr="00257B3B">
        <w:rPr>
          <w:rFonts w:ascii="Times New Roman" w:hAnsi="Times New Roman" w:cs="Times New Roman"/>
          <w:sz w:val="24"/>
          <w:szCs w:val="24"/>
        </w:rPr>
        <w:t xml:space="preserve"> were estimated using standard methods. The pharmacologic advantage after IP administration of docetaxel was calculated as the ratio of AUC in IP fluid to AUC in plasma and </w:t>
      </w:r>
      <w:proofErr w:type="spellStart"/>
      <w:r w:rsidRPr="00257B3B">
        <w:rPr>
          <w:rFonts w:ascii="Times New Roman" w:hAnsi="Times New Roman" w:cs="Times New Roman"/>
          <w:sz w:val="24"/>
          <w:szCs w:val="24"/>
        </w:rPr>
        <w:t>Cmax</w:t>
      </w:r>
      <w:proofErr w:type="spellEnd"/>
      <w:r w:rsidRPr="00257B3B">
        <w:rPr>
          <w:rFonts w:ascii="Times New Roman" w:hAnsi="Times New Roman" w:cs="Times New Roman"/>
          <w:sz w:val="24"/>
          <w:szCs w:val="24"/>
        </w:rPr>
        <w:t xml:space="preserve"> in IP fluid to </w:t>
      </w:r>
      <w:proofErr w:type="spellStart"/>
      <w:r w:rsidRPr="00257B3B">
        <w:rPr>
          <w:rFonts w:ascii="Times New Roman" w:hAnsi="Times New Roman" w:cs="Times New Roman"/>
          <w:sz w:val="24"/>
          <w:szCs w:val="24"/>
        </w:rPr>
        <w:t>Cmax</w:t>
      </w:r>
      <w:proofErr w:type="spellEnd"/>
      <w:r w:rsidRPr="00257B3B">
        <w:rPr>
          <w:rFonts w:ascii="Times New Roman" w:hAnsi="Times New Roman" w:cs="Times New Roman"/>
          <w:sz w:val="24"/>
          <w:szCs w:val="24"/>
        </w:rPr>
        <w:t xml:space="preserve"> in plasma [1</w:t>
      </w:r>
      <w:r>
        <w:rPr>
          <w:rFonts w:ascii="Times New Roman" w:hAnsi="Times New Roman" w:cs="Times New Roman"/>
          <w:sz w:val="24"/>
          <w:szCs w:val="24"/>
        </w:rPr>
        <w:t>1</w:t>
      </w:r>
      <w:r w:rsidRPr="00257B3B">
        <w:rPr>
          <w:rFonts w:ascii="Times New Roman" w:hAnsi="Times New Roman" w:cs="Times New Roman"/>
          <w:sz w:val="24"/>
          <w:szCs w:val="24"/>
        </w:rPr>
        <w:t>].</w:t>
      </w:r>
      <w:r w:rsidRPr="00244D60">
        <w:rPr>
          <w:rFonts w:ascii="Times New Roman" w:hAnsi="Times New Roman" w:cs="Times New Roman"/>
          <w:sz w:val="24"/>
          <w:szCs w:val="24"/>
        </w:rPr>
        <w:t xml:space="preserve">  </w:t>
      </w:r>
    </w:p>
    <w:p w:rsidR="00F72692" w:rsidRDefault="00356624"/>
    <w:sectPr w:rsidR="00F72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41D"/>
    <w:rsid w:val="00040B40"/>
    <w:rsid w:val="000632F1"/>
    <w:rsid w:val="001045AB"/>
    <w:rsid w:val="0011297A"/>
    <w:rsid w:val="003C6F4B"/>
    <w:rsid w:val="00543287"/>
    <w:rsid w:val="0078141D"/>
    <w:rsid w:val="00877B57"/>
    <w:rsid w:val="00887272"/>
    <w:rsid w:val="008D4EE3"/>
    <w:rsid w:val="00930722"/>
    <w:rsid w:val="00B03B53"/>
    <w:rsid w:val="00BB227C"/>
    <w:rsid w:val="00C3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5C24"/>
  <w15:chartTrackingRefBased/>
  <w15:docId w15:val="{EEC1F6A4-4C2B-465E-BB97-A1C64456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14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Sarah E</dc:creator>
  <cp:keywords/>
  <dc:description/>
  <cp:lastModifiedBy>Taylor, Sarah E</cp:lastModifiedBy>
  <cp:revision>3</cp:revision>
  <dcterms:created xsi:type="dcterms:W3CDTF">2018-10-16T16:00:00Z</dcterms:created>
  <dcterms:modified xsi:type="dcterms:W3CDTF">2018-10-16T16:00:00Z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490594</vt:lpwstr>
  </property>
  <property fmtid="{D5CDD505-2E9C-101B-9397-08002B2CF9AE}" pid="3" name="InsertAsFootnote">
    <vt:lpwstr>False</vt:lpwstr>
  </property>
  <property fmtid="{D5CDD505-2E9C-101B-9397-08002B2CF9AE}" pid="4" name="ProjectId">
    <vt:lpwstr>0</vt:lpwstr>
  </property>
  <property fmtid="{D5CDD505-2E9C-101B-9397-08002B2CF9AE}" pid="5" name="StyleId">
    <vt:lpwstr>http://www.zotero.org/styles/vancouver</vt:lpwstr>
  </property>
</Properties>
</file>